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16BA4" w14:textId="1BCD1536" w:rsidR="00FA5079" w:rsidRPr="004B7E9F" w:rsidRDefault="004B7E9F" w:rsidP="004B7E9F">
      <w:pPr>
        <w:tabs>
          <w:tab w:val="left" w:pos="3255"/>
        </w:tabs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4B7E9F">
        <w:rPr>
          <w:rFonts w:cstheme="minorHAnsi"/>
          <w:b/>
          <w:bCs/>
          <w:sz w:val="24"/>
          <w:szCs w:val="24"/>
        </w:rPr>
        <w:t>GWARANCJA</w:t>
      </w:r>
    </w:p>
    <w:p w14:paraId="41DCBCC4" w14:textId="00CD38AF" w:rsidR="003B7880" w:rsidRDefault="00FA5079" w:rsidP="004B7E9F">
      <w:pPr>
        <w:tabs>
          <w:tab w:val="left" w:pos="3255"/>
        </w:tabs>
        <w:spacing w:line="276" w:lineRule="auto"/>
        <w:jc w:val="both"/>
        <w:rPr>
          <w:rFonts w:cstheme="minorHAnsi"/>
        </w:rPr>
      </w:pPr>
      <w:proofErr w:type="spellStart"/>
      <w:r w:rsidRPr="004C7C8B">
        <w:rPr>
          <w:rFonts w:cstheme="minorHAnsi"/>
        </w:rPr>
        <w:t>EcoTravers</w:t>
      </w:r>
      <w:proofErr w:type="spellEnd"/>
      <w:r w:rsidRPr="004C7C8B">
        <w:rPr>
          <w:rFonts w:cstheme="minorHAnsi"/>
        </w:rPr>
        <w:t xml:space="preserve"> Sp. z o.o. jako Gwarant udziela </w:t>
      </w:r>
      <w:r w:rsidR="004B7E9F">
        <w:rPr>
          <w:rFonts w:cstheme="minorHAnsi"/>
        </w:rPr>
        <w:t>n</w:t>
      </w:r>
      <w:r w:rsidRPr="004C7C8B">
        <w:rPr>
          <w:rFonts w:cstheme="minorHAnsi"/>
        </w:rPr>
        <w:t xml:space="preserve">abywcy gwarancji na </w:t>
      </w:r>
      <w:r w:rsidR="004E1DB6">
        <w:rPr>
          <w:rFonts w:cstheme="minorHAnsi"/>
        </w:rPr>
        <w:t xml:space="preserve">lamele ścienne </w:t>
      </w:r>
      <w:r w:rsidR="00802A54">
        <w:rPr>
          <w:rFonts w:cstheme="minorHAnsi"/>
        </w:rPr>
        <w:t>na płycie HDF</w:t>
      </w:r>
      <w:r w:rsidR="004E1DB6">
        <w:rPr>
          <w:rFonts w:cstheme="minorHAnsi"/>
        </w:rPr>
        <w:t xml:space="preserve"> </w:t>
      </w:r>
      <w:r w:rsidR="00545763" w:rsidRPr="005F1826">
        <w:t>na zasadach określonych poniżej.</w:t>
      </w:r>
    </w:p>
    <w:p w14:paraId="5FA78BB3" w14:textId="77777777" w:rsidR="004E1DB6" w:rsidRPr="004B7E9F" w:rsidRDefault="004E1DB6" w:rsidP="004E1DB6">
      <w:pPr>
        <w:tabs>
          <w:tab w:val="left" w:pos="3255"/>
        </w:tabs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4B7E9F">
        <w:rPr>
          <w:rFonts w:cstheme="minorHAnsi"/>
          <w:b/>
          <w:bCs/>
          <w:sz w:val="24"/>
          <w:szCs w:val="24"/>
        </w:rPr>
        <w:t>Warunki gwarancji:</w:t>
      </w:r>
    </w:p>
    <w:p w14:paraId="39A74E09" w14:textId="77777777" w:rsidR="004E1DB6" w:rsidRPr="002D113A" w:rsidRDefault="004E1DB6" w:rsidP="004E1DB6">
      <w:pPr>
        <w:pStyle w:val="Akapitzlist"/>
        <w:numPr>
          <w:ilvl w:val="0"/>
          <w:numId w:val="7"/>
        </w:numPr>
        <w:tabs>
          <w:tab w:val="left" w:pos="3255"/>
        </w:tabs>
        <w:spacing w:line="276" w:lineRule="auto"/>
        <w:jc w:val="both"/>
        <w:rPr>
          <w:rFonts w:cstheme="minorHAnsi"/>
        </w:rPr>
      </w:pPr>
      <w:r w:rsidRPr="002D113A">
        <w:rPr>
          <w:rFonts w:cstheme="minorHAnsi"/>
        </w:rPr>
        <w:t>Gwarancja udzielona jest wyłącznie na wady tkwiące w produktach.</w:t>
      </w:r>
    </w:p>
    <w:p w14:paraId="62697A59" w14:textId="77777777" w:rsidR="004E1DB6" w:rsidRPr="002D113A" w:rsidRDefault="004E1DB6" w:rsidP="004E1DB6">
      <w:pPr>
        <w:pStyle w:val="Akapitzlist"/>
        <w:numPr>
          <w:ilvl w:val="0"/>
          <w:numId w:val="7"/>
        </w:numPr>
        <w:tabs>
          <w:tab w:val="left" w:pos="3255"/>
        </w:tabs>
        <w:spacing w:line="276" w:lineRule="auto"/>
        <w:jc w:val="both"/>
        <w:rPr>
          <w:rFonts w:cstheme="minorHAnsi"/>
        </w:rPr>
      </w:pPr>
      <w:r w:rsidRPr="002D113A">
        <w:rPr>
          <w:rFonts w:cstheme="minorHAnsi"/>
        </w:rPr>
        <w:t>Gwarancja obowiązuje na terytorium Rzeczypospolitej Polskiej.</w:t>
      </w:r>
    </w:p>
    <w:p w14:paraId="03878253" w14:textId="77777777" w:rsidR="004E1DB6" w:rsidRPr="002D113A" w:rsidRDefault="004E1DB6" w:rsidP="004E1DB6">
      <w:pPr>
        <w:pStyle w:val="Akapitzlist"/>
        <w:numPr>
          <w:ilvl w:val="0"/>
          <w:numId w:val="7"/>
        </w:numPr>
        <w:tabs>
          <w:tab w:val="left" w:pos="3255"/>
        </w:tabs>
        <w:spacing w:line="276" w:lineRule="auto"/>
        <w:jc w:val="both"/>
        <w:rPr>
          <w:rFonts w:cstheme="minorHAnsi"/>
        </w:rPr>
      </w:pPr>
      <w:r w:rsidRPr="002D113A">
        <w:rPr>
          <w:rFonts w:cstheme="minorHAnsi"/>
        </w:rPr>
        <w:t>Okres trwania gwarancji w zakresie deformacji, pęknięć, wypaczeń (z wyłączeniem uszkodzeń mechanicznych powstałych na skutek uderzenia lub statycznego obciążenia) wynosi 2 lata.</w:t>
      </w:r>
    </w:p>
    <w:p w14:paraId="009F6367" w14:textId="77777777" w:rsidR="004E1DB6" w:rsidRPr="002D113A" w:rsidRDefault="004E1DB6" w:rsidP="004E1DB6">
      <w:pPr>
        <w:pStyle w:val="Akapitzlist"/>
        <w:numPr>
          <w:ilvl w:val="0"/>
          <w:numId w:val="7"/>
        </w:numPr>
        <w:tabs>
          <w:tab w:val="left" w:pos="3255"/>
        </w:tabs>
        <w:spacing w:line="276" w:lineRule="auto"/>
        <w:jc w:val="both"/>
        <w:rPr>
          <w:rFonts w:cstheme="minorHAnsi"/>
        </w:rPr>
      </w:pPr>
      <w:r w:rsidRPr="002D113A">
        <w:rPr>
          <w:rFonts w:cstheme="minorHAnsi"/>
        </w:rPr>
        <w:t xml:space="preserve">Okres trwania gwarancji w zakresie gnicia, butwienia oraz niszczenia wynikającego z działania owadów wynosi </w:t>
      </w:r>
      <w:r>
        <w:rPr>
          <w:rFonts w:cstheme="minorHAnsi"/>
          <w:b/>
          <w:bCs/>
        </w:rPr>
        <w:t>2</w:t>
      </w:r>
      <w:r w:rsidRPr="00545763">
        <w:rPr>
          <w:rFonts w:cstheme="minorHAnsi"/>
          <w:b/>
          <w:bCs/>
        </w:rPr>
        <w:t xml:space="preserve"> lat</w:t>
      </w:r>
      <w:r>
        <w:rPr>
          <w:rFonts w:cstheme="minorHAnsi"/>
          <w:b/>
          <w:bCs/>
        </w:rPr>
        <w:t>a</w:t>
      </w:r>
      <w:r w:rsidRPr="00545763">
        <w:rPr>
          <w:rFonts w:cstheme="minorHAnsi"/>
          <w:b/>
          <w:bCs/>
        </w:rPr>
        <w:t>.</w:t>
      </w:r>
    </w:p>
    <w:p w14:paraId="7DB51133" w14:textId="77777777" w:rsidR="004E1DB6" w:rsidRPr="002D113A" w:rsidRDefault="004E1DB6" w:rsidP="004E1DB6">
      <w:pPr>
        <w:pStyle w:val="Akapitzlist"/>
        <w:numPr>
          <w:ilvl w:val="0"/>
          <w:numId w:val="7"/>
        </w:numPr>
        <w:tabs>
          <w:tab w:val="left" w:pos="3255"/>
        </w:tabs>
        <w:spacing w:line="276" w:lineRule="auto"/>
        <w:jc w:val="both"/>
        <w:rPr>
          <w:rFonts w:cstheme="minorHAnsi"/>
        </w:rPr>
      </w:pPr>
      <w:r w:rsidRPr="002D113A">
        <w:rPr>
          <w:rFonts w:cstheme="minorHAnsi"/>
        </w:rPr>
        <w:t xml:space="preserve">Okres gwarancji jest liczony od dnia zakupu towaru na podstawie faktury lub paragonu. </w:t>
      </w:r>
    </w:p>
    <w:p w14:paraId="2661C6DE" w14:textId="77777777" w:rsidR="004E1DB6" w:rsidRDefault="004E1DB6" w:rsidP="004E1DB6">
      <w:pPr>
        <w:pStyle w:val="Akapitzlist"/>
        <w:numPr>
          <w:ilvl w:val="0"/>
          <w:numId w:val="7"/>
        </w:numPr>
        <w:tabs>
          <w:tab w:val="left" w:pos="3255"/>
        </w:tabs>
        <w:spacing w:line="276" w:lineRule="auto"/>
        <w:jc w:val="both"/>
        <w:rPr>
          <w:rFonts w:cstheme="minorHAnsi"/>
        </w:rPr>
      </w:pPr>
      <w:r w:rsidRPr="00545763">
        <w:rPr>
          <w:rFonts w:cstheme="minorHAnsi"/>
        </w:rPr>
        <w:t xml:space="preserve">Warunkiem gwarancji jest prawidłowy montaż </w:t>
      </w:r>
      <w:r>
        <w:rPr>
          <w:rFonts w:cstheme="minorHAnsi"/>
        </w:rPr>
        <w:t>lameli akustycznych</w:t>
      </w:r>
      <w:r w:rsidRPr="00545763">
        <w:rPr>
          <w:rFonts w:cstheme="minorHAnsi"/>
        </w:rPr>
        <w:t xml:space="preserve"> zgodnie z instrukcją dostępną na stronie </w:t>
      </w:r>
      <w:r>
        <w:rPr>
          <w:rFonts w:cstheme="minorHAnsi"/>
        </w:rPr>
        <w:t>liderwood.pl</w:t>
      </w:r>
      <w:r w:rsidRPr="00545763">
        <w:rPr>
          <w:rFonts w:cstheme="minorHAnsi"/>
        </w:rPr>
        <w:t>, ze szczególnym uwzględnieniem następujących warunków:</w:t>
      </w:r>
    </w:p>
    <w:p w14:paraId="101702E6" w14:textId="77777777" w:rsidR="004E1DB6" w:rsidRDefault="004E1DB6" w:rsidP="004E1DB6">
      <w:pPr>
        <w:pStyle w:val="Akapitzlist"/>
        <w:numPr>
          <w:ilvl w:val="1"/>
          <w:numId w:val="7"/>
        </w:numPr>
        <w:tabs>
          <w:tab w:val="left" w:pos="3255"/>
        </w:tabs>
        <w:spacing w:line="276" w:lineRule="auto"/>
        <w:jc w:val="both"/>
        <w:rPr>
          <w:rFonts w:cstheme="minorHAnsi"/>
        </w:rPr>
      </w:pPr>
      <w:r w:rsidRPr="00545763">
        <w:rPr>
          <w:rFonts w:cstheme="minorHAnsi"/>
        </w:rPr>
        <w:t>montaż na stabiln</w:t>
      </w:r>
      <w:r>
        <w:rPr>
          <w:rFonts w:cstheme="minorHAnsi"/>
        </w:rPr>
        <w:t>ej, równej powierzchni</w:t>
      </w:r>
    </w:p>
    <w:p w14:paraId="5DD6F9A2" w14:textId="77777777" w:rsidR="004E1DB6" w:rsidRDefault="004E1DB6" w:rsidP="004E1DB6">
      <w:pPr>
        <w:pStyle w:val="Akapitzlist"/>
        <w:numPr>
          <w:ilvl w:val="1"/>
          <w:numId w:val="7"/>
        </w:numPr>
        <w:tabs>
          <w:tab w:val="left" w:pos="3255"/>
        </w:tabs>
        <w:spacing w:line="276" w:lineRule="auto"/>
        <w:jc w:val="both"/>
        <w:rPr>
          <w:rFonts w:cstheme="minorHAnsi"/>
        </w:rPr>
      </w:pPr>
      <w:r w:rsidRPr="00545763">
        <w:rPr>
          <w:rFonts w:cstheme="minorHAnsi"/>
        </w:rPr>
        <w:t xml:space="preserve">wykorzystanie do montażu wyłącznie akcesoriów montażowych </w:t>
      </w:r>
      <w:r>
        <w:rPr>
          <w:rFonts w:cstheme="minorHAnsi"/>
        </w:rPr>
        <w:t>zalecanych w instrukcji montażu</w:t>
      </w:r>
    </w:p>
    <w:p w14:paraId="1B33B204" w14:textId="77777777" w:rsidR="004E1DB6" w:rsidRDefault="004E1DB6" w:rsidP="004E1DB6">
      <w:pPr>
        <w:pStyle w:val="Akapitzlist"/>
        <w:numPr>
          <w:ilvl w:val="1"/>
          <w:numId w:val="7"/>
        </w:numPr>
        <w:tabs>
          <w:tab w:val="left" w:pos="3255"/>
        </w:tabs>
        <w:spacing w:line="276" w:lineRule="auto"/>
        <w:jc w:val="both"/>
        <w:rPr>
          <w:rFonts w:cstheme="minorHAnsi"/>
        </w:rPr>
      </w:pPr>
      <w:r w:rsidRPr="00545763">
        <w:rPr>
          <w:rFonts w:cstheme="minorHAnsi"/>
        </w:rPr>
        <w:t>przestrzeganie zasad użytkowania i pielęgnacji</w:t>
      </w:r>
      <w:r>
        <w:rPr>
          <w:rFonts w:cstheme="minorHAnsi"/>
        </w:rPr>
        <w:t xml:space="preserve"> dostępnymi na stronie liderwood.pl</w:t>
      </w:r>
    </w:p>
    <w:p w14:paraId="29410817" w14:textId="77777777" w:rsidR="004E1DB6" w:rsidRPr="004B7E9F" w:rsidRDefault="004E1DB6" w:rsidP="004E1DB6">
      <w:pPr>
        <w:tabs>
          <w:tab w:val="left" w:pos="3255"/>
        </w:tabs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Gwarancją nie są objęte:</w:t>
      </w:r>
    </w:p>
    <w:p w14:paraId="3EE01C84" w14:textId="77777777" w:rsidR="004E1DB6" w:rsidRPr="006D6584" w:rsidRDefault="004E1DB6" w:rsidP="004E1DB6">
      <w:pPr>
        <w:pStyle w:val="Akapitzlist"/>
        <w:numPr>
          <w:ilvl w:val="0"/>
          <w:numId w:val="11"/>
        </w:numPr>
        <w:tabs>
          <w:tab w:val="left" w:pos="3255"/>
        </w:tabs>
        <w:spacing w:line="276" w:lineRule="auto"/>
        <w:jc w:val="both"/>
        <w:rPr>
          <w:rFonts w:cstheme="minorHAnsi"/>
        </w:rPr>
      </w:pPr>
      <w:r>
        <w:rPr>
          <w:rFonts w:cstheme="minorHAnsi"/>
        </w:rPr>
        <w:t>U</w:t>
      </w:r>
      <w:r w:rsidRPr="006D6584">
        <w:rPr>
          <w:rFonts w:cstheme="minorHAnsi"/>
        </w:rPr>
        <w:t>szkodzenia wynikające z niewłaściwego montażu lub z niewłaściwie przygotowanego podłoża</w:t>
      </w:r>
    </w:p>
    <w:p w14:paraId="36B2DCB4" w14:textId="77777777" w:rsidR="004E1DB6" w:rsidRPr="006D6584" w:rsidRDefault="004E1DB6" w:rsidP="004E1DB6">
      <w:pPr>
        <w:pStyle w:val="Akapitzlist"/>
        <w:numPr>
          <w:ilvl w:val="0"/>
          <w:numId w:val="11"/>
        </w:numPr>
        <w:tabs>
          <w:tab w:val="left" w:pos="3255"/>
        </w:tabs>
        <w:spacing w:line="276" w:lineRule="auto"/>
        <w:jc w:val="both"/>
        <w:rPr>
          <w:rFonts w:cstheme="minorHAnsi"/>
        </w:rPr>
      </w:pPr>
      <w:r>
        <w:rPr>
          <w:rFonts w:cstheme="minorHAnsi"/>
        </w:rPr>
        <w:t>U</w:t>
      </w:r>
      <w:r w:rsidRPr="006D6584">
        <w:rPr>
          <w:rFonts w:cstheme="minorHAnsi"/>
        </w:rPr>
        <w:t>szkodzenia mechaniczne spowodowane np. nadmiernym obciążeniem, uderzeniem, zarysowaniem ostrym przedmiotem</w:t>
      </w:r>
    </w:p>
    <w:p w14:paraId="06C9BCB0" w14:textId="77777777" w:rsidR="004E1DB6" w:rsidRPr="006D6584" w:rsidRDefault="004E1DB6" w:rsidP="004E1DB6">
      <w:pPr>
        <w:pStyle w:val="Akapitzlist"/>
        <w:numPr>
          <w:ilvl w:val="0"/>
          <w:numId w:val="11"/>
        </w:numPr>
        <w:tabs>
          <w:tab w:val="left" w:pos="3255"/>
        </w:tabs>
        <w:spacing w:line="276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Pr="006D6584">
        <w:rPr>
          <w:rFonts w:cstheme="minorHAnsi"/>
        </w:rPr>
        <w:t>lamy czy odbarwienia powstałe w skutek działania substancji tłustych</w:t>
      </w:r>
      <w:r>
        <w:rPr>
          <w:rFonts w:cstheme="minorHAnsi"/>
        </w:rPr>
        <w:t>, substancji</w:t>
      </w:r>
      <w:r w:rsidRPr="006D6584">
        <w:rPr>
          <w:rFonts w:cstheme="minorHAnsi"/>
        </w:rPr>
        <w:t xml:space="preserve"> żrących, farb, lakierów </w:t>
      </w:r>
      <w:r>
        <w:rPr>
          <w:rFonts w:cstheme="minorHAnsi"/>
        </w:rPr>
        <w:t>itp.</w:t>
      </w:r>
    </w:p>
    <w:p w14:paraId="04585082" w14:textId="77777777" w:rsidR="004E1DB6" w:rsidRPr="006D6584" w:rsidRDefault="004E1DB6" w:rsidP="004E1DB6">
      <w:pPr>
        <w:pStyle w:val="Akapitzlist"/>
        <w:numPr>
          <w:ilvl w:val="0"/>
          <w:numId w:val="11"/>
        </w:numPr>
        <w:tabs>
          <w:tab w:val="left" w:pos="3255"/>
        </w:tabs>
        <w:spacing w:line="276" w:lineRule="auto"/>
        <w:jc w:val="both"/>
        <w:rPr>
          <w:rFonts w:cstheme="minorHAnsi"/>
        </w:rPr>
      </w:pPr>
      <w:r>
        <w:rPr>
          <w:rFonts w:cstheme="minorHAnsi"/>
        </w:rPr>
        <w:t>Z</w:t>
      </w:r>
      <w:r w:rsidRPr="006D6584">
        <w:rPr>
          <w:rFonts w:cstheme="minorHAnsi"/>
        </w:rPr>
        <w:t>miany odcienia spowodowane nierównomiernym naświetleniem</w:t>
      </w:r>
    </w:p>
    <w:p w14:paraId="4B1530EA" w14:textId="77777777" w:rsidR="004E1DB6" w:rsidRPr="006D6584" w:rsidRDefault="004E1DB6" w:rsidP="004E1DB6">
      <w:pPr>
        <w:pStyle w:val="Akapitzlist"/>
        <w:numPr>
          <w:ilvl w:val="0"/>
          <w:numId w:val="11"/>
        </w:numPr>
        <w:tabs>
          <w:tab w:val="left" w:pos="3255"/>
        </w:tabs>
        <w:spacing w:line="276" w:lineRule="auto"/>
        <w:jc w:val="both"/>
        <w:rPr>
          <w:rFonts w:cstheme="minorHAnsi"/>
        </w:rPr>
      </w:pPr>
      <w:r>
        <w:rPr>
          <w:rFonts w:cstheme="minorHAnsi"/>
        </w:rPr>
        <w:t>Z</w:t>
      </w:r>
      <w:r w:rsidRPr="006D6584">
        <w:rPr>
          <w:rFonts w:cstheme="minorHAnsi"/>
        </w:rPr>
        <w:t xml:space="preserve">miany barwy i struktury powierzchni </w:t>
      </w:r>
      <w:r>
        <w:rPr>
          <w:rFonts w:cstheme="minorHAnsi"/>
        </w:rPr>
        <w:t>lameli</w:t>
      </w:r>
      <w:r w:rsidRPr="006D6584">
        <w:rPr>
          <w:rFonts w:cstheme="minorHAnsi"/>
        </w:rPr>
        <w:t xml:space="preserve"> wynikające z użytkowania i naturalnego starzenia się produktu, oddziaływania promieni UV oraz wody</w:t>
      </w:r>
      <w:r>
        <w:rPr>
          <w:rFonts w:cstheme="minorHAnsi"/>
        </w:rPr>
        <w:t>.</w:t>
      </w:r>
    </w:p>
    <w:p w14:paraId="070268DD" w14:textId="77777777" w:rsidR="004E1DB6" w:rsidRPr="006D6584" w:rsidRDefault="004E1DB6" w:rsidP="004E1DB6">
      <w:pPr>
        <w:pStyle w:val="Akapitzlist"/>
        <w:numPr>
          <w:ilvl w:val="0"/>
          <w:numId w:val="11"/>
        </w:numPr>
        <w:tabs>
          <w:tab w:val="left" w:pos="3255"/>
        </w:tabs>
        <w:spacing w:line="276" w:lineRule="auto"/>
        <w:jc w:val="both"/>
        <w:rPr>
          <w:rFonts w:cstheme="minorHAnsi"/>
        </w:rPr>
      </w:pPr>
      <w:r>
        <w:rPr>
          <w:rFonts w:cstheme="minorHAnsi"/>
        </w:rPr>
        <w:t>R</w:t>
      </w:r>
      <w:r w:rsidRPr="006D6584">
        <w:rPr>
          <w:rFonts w:cstheme="minorHAnsi"/>
        </w:rPr>
        <w:t>óżnice w wymiarach produktów nieprzekraczające 2%</w:t>
      </w:r>
      <w:r>
        <w:rPr>
          <w:rFonts w:cstheme="minorHAnsi"/>
        </w:rPr>
        <w:t>.</w:t>
      </w:r>
    </w:p>
    <w:p w14:paraId="027D9053" w14:textId="77777777" w:rsidR="004E1DB6" w:rsidRPr="006D6584" w:rsidRDefault="004E1DB6" w:rsidP="004E1DB6">
      <w:pPr>
        <w:pStyle w:val="Akapitzlist"/>
        <w:numPr>
          <w:ilvl w:val="0"/>
          <w:numId w:val="11"/>
        </w:numPr>
        <w:tabs>
          <w:tab w:val="left" w:pos="3255"/>
        </w:tabs>
        <w:spacing w:line="276" w:lineRule="auto"/>
        <w:jc w:val="both"/>
        <w:rPr>
          <w:rFonts w:cstheme="minorHAnsi"/>
        </w:rPr>
      </w:pPr>
      <w:r>
        <w:rPr>
          <w:rFonts w:cstheme="minorHAnsi"/>
        </w:rPr>
        <w:t>R</w:t>
      </w:r>
      <w:r w:rsidRPr="006D6584">
        <w:rPr>
          <w:rFonts w:cstheme="minorHAnsi"/>
        </w:rPr>
        <w:t>óżnice kolorystyczne pomiędzy różnymi partiami produkcyjnymi</w:t>
      </w:r>
      <w:r>
        <w:rPr>
          <w:rFonts w:cstheme="minorHAnsi"/>
        </w:rPr>
        <w:t>.</w:t>
      </w:r>
    </w:p>
    <w:p w14:paraId="26166FCF" w14:textId="77777777" w:rsidR="004E1DB6" w:rsidRPr="006D6584" w:rsidRDefault="004E1DB6" w:rsidP="004E1DB6">
      <w:pPr>
        <w:pStyle w:val="Akapitzlist"/>
        <w:numPr>
          <w:ilvl w:val="0"/>
          <w:numId w:val="11"/>
        </w:numPr>
        <w:tabs>
          <w:tab w:val="left" w:pos="3255"/>
        </w:tabs>
        <w:spacing w:line="276" w:lineRule="auto"/>
        <w:jc w:val="both"/>
        <w:rPr>
          <w:rFonts w:cstheme="minorHAnsi"/>
        </w:rPr>
      </w:pPr>
      <w:r>
        <w:rPr>
          <w:rFonts w:cstheme="minorHAnsi"/>
        </w:rPr>
        <w:t>Produkty</w:t>
      </w:r>
      <w:r w:rsidRPr="006D6584">
        <w:rPr>
          <w:rFonts w:cstheme="minorHAnsi"/>
        </w:rPr>
        <w:t xml:space="preserve"> używan</w:t>
      </w:r>
      <w:r>
        <w:rPr>
          <w:rFonts w:cstheme="minorHAnsi"/>
        </w:rPr>
        <w:t>e</w:t>
      </w:r>
      <w:r w:rsidRPr="006D6584">
        <w:rPr>
          <w:rFonts w:cstheme="minorHAnsi"/>
        </w:rPr>
        <w:t xml:space="preserve"> do celów innych niż określone przez producenta.</w:t>
      </w:r>
    </w:p>
    <w:p w14:paraId="45CC1FC2" w14:textId="77777777" w:rsidR="004E1DB6" w:rsidRDefault="004E1DB6" w:rsidP="004E1DB6">
      <w:pPr>
        <w:pStyle w:val="Akapitzlist"/>
        <w:numPr>
          <w:ilvl w:val="0"/>
          <w:numId w:val="11"/>
        </w:numPr>
        <w:tabs>
          <w:tab w:val="left" w:pos="3255"/>
        </w:tabs>
        <w:spacing w:line="276" w:lineRule="auto"/>
        <w:jc w:val="both"/>
        <w:rPr>
          <w:rFonts w:cstheme="minorHAnsi"/>
        </w:rPr>
      </w:pPr>
      <w:r w:rsidRPr="005572E0">
        <w:rPr>
          <w:rFonts w:cstheme="minorHAnsi"/>
        </w:rPr>
        <w:t>Produkty zamontowane w sposób wadliwy lub niezgodny z instrukcją montażu i/lub kartą techniczną produktu.</w:t>
      </w:r>
    </w:p>
    <w:p w14:paraId="42EB31DD" w14:textId="77777777" w:rsidR="004E1DB6" w:rsidRDefault="004E1DB6" w:rsidP="004E1DB6">
      <w:pPr>
        <w:rPr>
          <w:rFonts w:cstheme="minorHAnsi"/>
        </w:rPr>
      </w:pPr>
      <w:r>
        <w:rPr>
          <w:rFonts w:cstheme="minorHAnsi"/>
        </w:rPr>
        <w:br w:type="page"/>
      </w:r>
    </w:p>
    <w:p w14:paraId="53E4C3B3" w14:textId="77777777" w:rsidR="004E1DB6" w:rsidRPr="004B7E9F" w:rsidRDefault="004E1DB6" w:rsidP="004E1DB6">
      <w:pPr>
        <w:tabs>
          <w:tab w:val="left" w:pos="3255"/>
        </w:tabs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4B7E9F">
        <w:rPr>
          <w:rFonts w:cstheme="minorHAnsi"/>
          <w:b/>
          <w:bCs/>
          <w:sz w:val="24"/>
          <w:szCs w:val="24"/>
        </w:rPr>
        <w:lastRenderedPageBreak/>
        <w:t>Realizacja Gwarancji:</w:t>
      </w:r>
    </w:p>
    <w:p w14:paraId="0A3490C2" w14:textId="77777777" w:rsidR="004E1DB6" w:rsidRPr="006D6584" w:rsidRDefault="004E1DB6" w:rsidP="004E1DB6">
      <w:pPr>
        <w:pStyle w:val="Akapitzlist"/>
        <w:numPr>
          <w:ilvl w:val="0"/>
          <w:numId w:val="12"/>
        </w:numPr>
        <w:tabs>
          <w:tab w:val="left" w:pos="3255"/>
        </w:tabs>
        <w:spacing w:line="276" w:lineRule="auto"/>
        <w:jc w:val="both"/>
        <w:rPr>
          <w:rFonts w:cstheme="minorHAnsi"/>
        </w:rPr>
      </w:pPr>
      <w:r w:rsidRPr="006D6584">
        <w:rPr>
          <w:rFonts w:cstheme="minorHAnsi"/>
        </w:rPr>
        <w:t>Warunkiem rozpatrzenia reklamacji jest jej pisemne zgłoszenie nie później niż w terminie 14</w:t>
      </w:r>
      <w:r>
        <w:rPr>
          <w:rFonts w:cstheme="minorHAnsi"/>
        </w:rPr>
        <w:t> </w:t>
      </w:r>
      <w:r w:rsidRPr="006D6584">
        <w:rPr>
          <w:rFonts w:cstheme="minorHAnsi"/>
        </w:rPr>
        <w:t>dni od stwierdzenia wykrycia wad produktu. Po przekroczeniu tego terminu reklamacja może zostać nieuznana.</w:t>
      </w:r>
    </w:p>
    <w:p w14:paraId="1DA21714" w14:textId="77777777" w:rsidR="004E1DB6" w:rsidRPr="006D6584" w:rsidRDefault="004E1DB6" w:rsidP="004E1DB6">
      <w:pPr>
        <w:pStyle w:val="Akapitzlist"/>
        <w:numPr>
          <w:ilvl w:val="0"/>
          <w:numId w:val="12"/>
        </w:numPr>
        <w:tabs>
          <w:tab w:val="left" w:pos="3255"/>
        </w:tabs>
        <w:spacing w:line="276" w:lineRule="auto"/>
        <w:jc w:val="both"/>
        <w:rPr>
          <w:rFonts w:cstheme="minorHAnsi"/>
        </w:rPr>
      </w:pPr>
      <w:r w:rsidRPr="006D6584">
        <w:rPr>
          <w:rFonts w:cstheme="minorHAnsi"/>
        </w:rPr>
        <w:t>Wszelkie roszczenia z tytułu otrzymania towaru niezgodnego z umową lub posiadającego widoczne wady należy zgłosić sprzedawcy przed zamontowaniem produktu w</w:t>
      </w:r>
      <w:r>
        <w:rPr>
          <w:rFonts w:cstheme="minorHAnsi"/>
        </w:rPr>
        <w:t> </w:t>
      </w:r>
      <w:r w:rsidRPr="006D6584">
        <w:rPr>
          <w:rFonts w:cstheme="minorHAnsi"/>
        </w:rPr>
        <w:t>nieprzekraczalnym terminie 7 dni od otrzymania towaru. Po zamontowaniu produktów reklamacje dotyczące niezgodności z umową lub wad estetycznych (widocznych uszkodzeń, różnic odcieni kolorystycznych) nie będą rozpatrywane.</w:t>
      </w:r>
    </w:p>
    <w:p w14:paraId="6E5C215F" w14:textId="77777777" w:rsidR="004E1DB6" w:rsidRPr="006D6584" w:rsidRDefault="004E1DB6" w:rsidP="004E1DB6">
      <w:pPr>
        <w:pStyle w:val="Akapitzlist"/>
        <w:numPr>
          <w:ilvl w:val="0"/>
          <w:numId w:val="12"/>
        </w:numPr>
        <w:tabs>
          <w:tab w:val="left" w:pos="3255"/>
        </w:tabs>
        <w:spacing w:line="276" w:lineRule="auto"/>
        <w:jc w:val="both"/>
        <w:rPr>
          <w:rFonts w:cstheme="minorHAnsi"/>
        </w:rPr>
      </w:pPr>
      <w:r w:rsidRPr="006D6584">
        <w:rPr>
          <w:rFonts w:cstheme="minorHAnsi"/>
        </w:rPr>
        <w:t>Gwarantowi przysługuje prawo oględzin sposobu zamontowania produktu w celu zbadania i</w:t>
      </w:r>
      <w:r>
        <w:rPr>
          <w:rFonts w:cstheme="minorHAnsi"/>
        </w:rPr>
        <w:t> </w:t>
      </w:r>
      <w:r w:rsidRPr="006D6584">
        <w:rPr>
          <w:rFonts w:cstheme="minorHAnsi"/>
        </w:rPr>
        <w:t xml:space="preserve">ustalenia wystąpienia wad objętych gwarancją. </w:t>
      </w:r>
    </w:p>
    <w:p w14:paraId="5F7921CF" w14:textId="77777777" w:rsidR="004E1DB6" w:rsidRPr="006D6584" w:rsidRDefault="004E1DB6" w:rsidP="004E1DB6">
      <w:pPr>
        <w:pStyle w:val="Akapitzlist"/>
        <w:numPr>
          <w:ilvl w:val="0"/>
          <w:numId w:val="12"/>
        </w:numPr>
        <w:tabs>
          <w:tab w:val="left" w:pos="3255"/>
        </w:tabs>
        <w:spacing w:line="276" w:lineRule="auto"/>
        <w:jc w:val="both"/>
        <w:rPr>
          <w:rFonts w:cstheme="minorHAnsi"/>
        </w:rPr>
      </w:pPr>
      <w:r w:rsidRPr="006D6584">
        <w:rPr>
          <w:rFonts w:cstheme="minorHAnsi"/>
        </w:rPr>
        <w:t xml:space="preserve">Czas rozpatrzenia zgłoszenia reklamacyjnego wynosi 14 dni, w przypadku konieczności dokonania oględzin w dużej odległości czas ten może zostać wydłużony. </w:t>
      </w:r>
    </w:p>
    <w:p w14:paraId="4512FC68" w14:textId="77777777" w:rsidR="004E1DB6" w:rsidRPr="006D6584" w:rsidRDefault="004E1DB6" w:rsidP="004E1DB6">
      <w:pPr>
        <w:pStyle w:val="Akapitzlist"/>
        <w:numPr>
          <w:ilvl w:val="0"/>
          <w:numId w:val="12"/>
        </w:numPr>
        <w:tabs>
          <w:tab w:val="left" w:pos="3255"/>
        </w:tabs>
        <w:spacing w:line="276" w:lineRule="auto"/>
        <w:jc w:val="both"/>
        <w:rPr>
          <w:rFonts w:cstheme="minorHAnsi"/>
        </w:rPr>
      </w:pPr>
      <w:r w:rsidRPr="006D6584">
        <w:rPr>
          <w:rFonts w:cstheme="minorHAnsi"/>
        </w:rPr>
        <w:t xml:space="preserve">Gwarant w przypadku uznania reklamacji zobowiązuje się dostarczenia Nabywcy na własny koszt produktów wolnych od wad w ciągu 30 dni. Produkty dostarczone w ramach wymiany lub zamiany są objęte niniejszą Gwarancją jedynie przez pozostały okres pierwotnej Gwarancji. </w:t>
      </w:r>
    </w:p>
    <w:p w14:paraId="046A0571" w14:textId="77777777" w:rsidR="004E1DB6" w:rsidRPr="006D6584" w:rsidRDefault="004E1DB6" w:rsidP="004E1DB6">
      <w:pPr>
        <w:pStyle w:val="Akapitzlist"/>
        <w:numPr>
          <w:ilvl w:val="0"/>
          <w:numId w:val="12"/>
        </w:numPr>
        <w:tabs>
          <w:tab w:val="left" w:pos="3255"/>
        </w:tabs>
        <w:spacing w:line="276" w:lineRule="auto"/>
        <w:jc w:val="both"/>
        <w:rPr>
          <w:rFonts w:cstheme="minorHAnsi"/>
        </w:rPr>
      </w:pPr>
      <w:r w:rsidRPr="006D6584">
        <w:rPr>
          <w:rFonts w:cstheme="minorHAnsi"/>
        </w:rPr>
        <w:t>W przypadku uznania reklamacji reklamowany lub zwracany towar musi zostać zapakowany i</w:t>
      </w:r>
      <w:r>
        <w:rPr>
          <w:rFonts w:cstheme="minorHAnsi"/>
        </w:rPr>
        <w:t> </w:t>
      </w:r>
      <w:r w:rsidRPr="006D6584">
        <w:rPr>
          <w:rFonts w:cstheme="minorHAnsi"/>
        </w:rPr>
        <w:t>zabezpieczony</w:t>
      </w:r>
      <w:r>
        <w:rPr>
          <w:rFonts w:cstheme="minorHAnsi"/>
        </w:rPr>
        <w:t>,</w:t>
      </w:r>
      <w:r w:rsidRPr="006D6584">
        <w:rPr>
          <w:rFonts w:cstheme="minorHAnsi"/>
        </w:rPr>
        <w:t xml:space="preserve"> tak aby umożliwić jego sprawny i bezpieczny załadunek i transport. </w:t>
      </w:r>
    </w:p>
    <w:p w14:paraId="725F637D" w14:textId="77777777" w:rsidR="004E1DB6" w:rsidRPr="006D6584" w:rsidRDefault="004E1DB6" w:rsidP="004E1DB6">
      <w:pPr>
        <w:pStyle w:val="Akapitzlist"/>
        <w:numPr>
          <w:ilvl w:val="0"/>
          <w:numId w:val="12"/>
        </w:numPr>
        <w:tabs>
          <w:tab w:val="left" w:pos="3255"/>
        </w:tabs>
        <w:spacing w:line="276" w:lineRule="auto"/>
        <w:jc w:val="both"/>
        <w:rPr>
          <w:rFonts w:cstheme="minorHAnsi"/>
        </w:rPr>
      </w:pPr>
      <w:r w:rsidRPr="006D6584">
        <w:rPr>
          <w:rFonts w:cstheme="minorHAnsi"/>
        </w:rPr>
        <w:t>Koszty transportu oraz inne koszty związane z obsługą reklamacji w przypadku jej nieuznania pokrywa Nabywca.</w:t>
      </w:r>
    </w:p>
    <w:p w14:paraId="5078AF64" w14:textId="77777777" w:rsidR="004E1DB6" w:rsidRPr="006D6584" w:rsidRDefault="004E1DB6" w:rsidP="004E1DB6">
      <w:pPr>
        <w:pStyle w:val="Akapitzlist"/>
        <w:numPr>
          <w:ilvl w:val="0"/>
          <w:numId w:val="12"/>
        </w:numPr>
        <w:tabs>
          <w:tab w:val="left" w:pos="3255"/>
        </w:tabs>
        <w:spacing w:line="276" w:lineRule="auto"/>
        <w:jc w:val="both"/>
        <w:rPr>
          <w:rFonts w:cstheme="minorHAnsi"/>
        </w:rPr>
      </w:pPr>
      <w:r w:rsidRPr="006D6584">
        <w:rPr>
          <w:rFonts w:cstheme="minorHAnsi"/>
        </w:rPr>
        <w:t>W przypadku gdy wada nie jest możliwa do usunięcia lub jej usunięcie będzie za sobą pociągać nadmierne koszty</w:t>
      </w:r>
      <w:r>
        <w:rPr>
          <w:rFonts w:cstheme="minorHAnsi"/>
        </w:rPr>
        <w:t>,</w:t>
      </w:r>
      <w:r w:rsidRPr="006D6584">
        <w:rPr>
          <w:rFonts w:cstheme="minorHAnsi"/>
        </w:rPr>
        <w:t xml:space="preserve"> gwarant może obniżyć cenę produktu. Sposób realizacji roszczeń gwarancyjnych zależy od Gwaranta. W przypadku braku możliwości dostarczenia takiego samego produktu Gwarant dostarczy produkt zastępczy spełniający podobne właściwości. </w:t>
      </w:r>
    </w:p>
    <w:p w14:paraId="40ED6845" w14:textId="77777777" w:rsidR="004E1DB6" w:rsidRPr="006D6584" w:rsidRDefault="004E1DB6" w:rsidP="004E1DB6">
      <w:pPr>
        <w:pStyle w:val="Akapitzlist"/>
        <w:numPr>
          <w:ilvl w:val="0"/>
          <w:numId w:val="12"/>
        </w:numPr>
        <w:tabs>
          <w:tab w:val="left" w:pos="3255"/>
        </w:tabs>
        <w:spacing w:line="276" w:lineRule="auto"/>
        <w:jc w:val="both"/>
        <w:rPr>
          <w:rFonts w:cstheme="minorHAnsi"/>
        </w:rPr>
      </w:pPr>
      <w:r w:rsidRPr="006D6584">
        <w:rPr>
          <w:rFonts w:cstheme="minorHAnsi"/>
        </w:rPr>
        <w:t>Gwarant nie pokrywa żadnych dodatkowych kosztów i strat mających związek z</w:t>
      </w:r>
      <w:r>
        <w:rPr>
          <w:rFonts w:cstheme="minorHAnsi"/>
        </w:rPr>
        <w:t> </w:t>
      </w:r>
      <w:r w:rsidRPr="006D6584">
        <w:rPr>
          <w:rFonts w:cstheme="minorHAnsi"/>
        </w:rPr>
        <w:t>zastosowaniem produktu</w:t>
      </w:r>
      <w:r>
        <w:rPr>
          <w:rFonts w:cstheme="minorHAnsi"/>
        </w:rPr>
        <w:t xml:space="preserve"> </w:t>
      </w:r>
      <w:r w:rsidRPr="006D6584">
        <w:rPr>
          <w:rFonts w:cstheme="minorHAnsi"/>
        </w:rPr>
        <w:t>(</w:t>
      </w:r>
      <w:r>
        <w:rPr>
          <w:rFonts w:cstheme="minorHAnsi"/>
        </w:rPr>
        <w:t xml:space="preserve">takich jak  </w:t>
      </w:r>
      <w:r w:rsidRPr="006D6584">
        <w:rPr>
          <w:rFonts w:cstheme="minorHAnsi"/>
        </w:rPr>
        <w:t>montaż, demontaż, składowani</w:t>
      </w:r>
      <w:r>
        <w:rPr>
          <w:rFonts w:cstheme="minorHAnsi"/>
        </w:rPr>
        <w:t>e</w:t>
      </w:r>
      <w:r w:rsidRPr="006D6584">
        <w:rPr>
          <w:rFonts w:cstheme="minorHAnsi"/>
        </w:rPr>
        <w:t xml:space="preserve">). </w:t>
      </w:r>
    </w:p>
    <w:p w14:paraId="6EC5E9D8" w14:textId="77777777" w:rsidR="004E1DB6" w:rsidRPr="004C7C8B" w:rsidRDefault="004E1DB6" w:rsidP="004E1DB6">
      <w:pPr>
        <w:tabs>
          <w:tab w:val="left" w:pos="3255"/>
        </w:tabs>
        <w:spacing w:line="276" w:lineRule="auto"/>
        <w:jc w:val="both"/>
        <w:rPr>
          <w:rFonts w:cstheme="minorHAnsi"/>
        </w:rPr>
      </w:pPr>
      <w:r w:rsidRPr="004C7C8B">
        <w:rPr>
          <w:rFonts w:cstheme="minorHAnsi"/>
        </w:rPr>
        <w:t>Gwarancja nie wyłącza, nie ogranicza ani nie zawiesza uprawnień Nabywcy wynikających z przepisów o rękojmi za wady rzeczy sprzedanej.</w:t>
      </w:r>
    </w:p>
    <w:p w14:paraId="145A08F2" w14:textId="7E22F10E" w:rsidR="00FE1918" w:rsidRPr="004C7C8B" w:rsidRDefault="00FE1918" w:rsidP="004E1DB6">
      <w:pPr>
        <w:tabs>
          <w:tab w:val="left" w:pos="3255"/>
        </w:tabs>
        <w:spacing w:line="276" w:lineRule="auto"/>
        <w:jc w:val="center"/>
        <w:rPr>
          <w:rFonts w:cstheme="minorHAnsi"/>
        </w:rPr>
      </w:pPr>
    </w:p>
    <w:sectPr w:rsidR="00FE1918" w:rsidRPr="004C7C8B" w:rsidSect="00A605EE">
      <w:headerReference w:type="default" r:id="rId7"/>
      <w:footerReference w:type="default" r:id="rId8"/>
      <w:pgSz w:w="11906" w:h="16838"/>
      <w:pgMar w:top="1418" w:right="1418" w:bottom="1418" w:left="1418" w:header="142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4A860" w14:textId="77777777" w:rsidR="008B315D" w:rsidRDefault="008B315D" w:rsidP="006E6477">
      <w:pPr>
        <w:spacing w:after="0" w:line="240" w:lineRule="auto"/>
      </w:pPr>
      <w:r>
        <w:separator/>
      </w:r>
    </w:p>
  </w:endnote>
  <w:endnote w:type="continuationSeparator" w:id="0">
    <w:p w14:paraId="56D67DFE" w14:textId="77777777" w:rsidR="008B315D" w:rsidRDefault="008B315D" w:rsidP="006E6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B464E" w14:textId="6D0A02F3" w:rsidR="006E6477" w:rsidRPr="008730DC" w:rsidRDefault="00706EF9" w:rsidP="00FE1918">
    <w:pPr>
      <w:pStyle w:val="Stopka"/>
      <w:pBdr>
        <w:top w:val="single" w:sz="4" w:space="0" w:color="auto"/>
      </w:pBdr>
      <w:tabs>
        <w:tab w:val="clear" w:pos="9072"/>
        <w:tab w:val="right" w:pos="9720"/>
      </w:tabs>
      <w:spacing w:before="60"/>
      <w:ind w:left="567" w:hanging="567"/>
      <w:jc w:val="right"/>
      <w:rPr>
        <w:rStyle w:val="Numerstrony"/>
        <w:rFonts w:ascii="Poppins" w:hAnsi="Poppins" w:cs="Poppins"/>
        <w:bCs/>
        <w:sz w:val="16"/>
        <w:szCs w:val="16"/>
      </w:rPr>
    </w:pPr>
    <w:r>
      <w:rPr>
        <w:rStyle w:val="Numerstrony"/>
        <w:rFonts w:ascii="Poppins" w:hAnsi="Poppins" w:cs="Poppins"/>
        <w:bCs/>
        <w:sz w:val="16"/>
        <w:szCs w:val="16"/>
      </w:rPr>
      <w:t>Liderwood Daniel Miąskowski Sp. K.</w:t>
    </w:r>
  </w:p>
  <w:p w14:paraId="43242425" w14:textId="2D3BFD47" w:rsidR="006E6477" w:rsidRPr="008730DC" w:rsidRDefault="006E6477" w:rsidP="00FE1918">
    <w:pPr>
      <w:pStyle w:val="Stopka"/>
      <w:pBdr>
        <w:top w:val="single" w:sz="4" w:space="0" w:color="auto"/>
      </w:pBdr>
      <w:tabs>
        <w:tab w:val="clear" w:pos="9072"/>
        <w:tab w:val="right" w:pos="9720"/>
      </w:tabs>
      <w:spacing w:before="60"/>
      <w:ind w:left="567" w:hanging="567"/>
      <w:jc w:val="right"/>
      <w:rPr>
        <w:rStyle w:val="Numerstrony"/>
        <w:rFonts w:ascii="Poppins" w:hAnsi="Poppins" w:cs="Poppins"/>
        <w:bCs/>
        <w:sz w:val="16"/>
        <w:szCs w:val="16"/>
      </w:rPr>
    </w:pPr>
    <w:r w:rsidRPr="008730DC">
      <w:rPr>
        <w:rStyle w:val="Numerstrony"/>
        <w:rFonts w:ascii="Poppins" w:hAnsi="Poppins" w:cs="Poppins"/>
        <w:bCs/>
        <w:sz w:val="16"/>
        <w:szCs w:val="16"/>
      </w:rPr>
      <w:t xml:space="preserve">ul. Grunwaldzka </w:t>
    </w:r>
    <w:r w:rsidR="00706EF9">
      <w:rPr>
        <w:rStyle w:val="Numerstrony"/>
        <w:rFonts w:ascii="Poppins" w:hAnsi="Poppins" w:cs="Poppins"/>
        <w:bCs/>
        <w:sz w:val="16"/>
        <w:szCs w:val="16"/>
      </w:rPr>
      <w:t>29</w:t>
    </w:r>
    <w:r w:rsidRPr="008730DC">
      <w:rPr>
        <w:rStyle w:val="Numerstrony"/>
        <w:rFonts w:ascii="Poppins" w:hAnsi="Poppins" w:cs="Poppins"/>
        <w:bCs/>
        <w:sz w:val="16"/>
        <w:szCs w:val="16"/>
      </w:rPr>
      <w:t xml:space="preserve">, 84-230 Rumia, Tel. </w:t>
    </w:r>
    <w:r w:rsidR="0099439F">
      <w:rPr>
        <w:rStyle w:val="Numerstrony"/>
        <w:rFonts w:ascii="Poppins" w:hAnsi="Poppins" w:cs="Poppins"/>
        <w:bCs/>
        <w:sz w:val="16"/>
        <w:szCs w:val="16"/>
      </w:rPr>
      <w:t>+48 </w:t>
    </w:r>
    <w:r w:rsidR="00706EF9">
      <w:rPr>
        <w:rStyle w:val="Numerstrony"/>
        <w:rFonts w:ascii="Poppins" w:hAnsi="Poppins" w:cs="Poppins"/>
        <w:bCs/>
        <w:sz w:val="16"/>
        <w:szCs w:val="16"/>
      </w:rPr>
      <w:t>58 595 95 92</w:t>
    </w:r>
  </w:p>
  <w:p w14:paraId="3A79C25A" w14:textId="221E8572" w:rsidR="006E6477" w:rsidRPr="00706EF9" w:rsidRDefault="00000000" w:rsidP="00FE1918">
    <w:pPr>
      <w:pStyle w:val="Stopka"/>
      <w:pBdr>
        <w:top w:val="single" w:sz="4" w:space="0" w:color="auto"/>
      </w:pBdr>
      <w:tabs>
        <w:tab w:val="clear" w:pos="9072"/>
        <w:tab w:val="right" w:pos="9720"/>
      </w:tabs>
      <w:spacing w:before="60"/>
      <w:ind w:left="567" w:hanging="567"/>
      <w:jc w:val="right"/>
      <w:rPr>
        <w:rStyle w:val="Numerstrony"/>
        <w:rFonts w:ascii="Poppins" w:hAnsi="Poppins" w:cs="Poppins"/>
        <w:bCs/>
        <w:sz w:val="16"/>
        <w:szCs w:val="16"/>
      </w:rPr>
    </w:pPr>
    <w:hyperlink r:id="rId1" w:history="1">
      <w:r w:rsidR="00706EF9" w:rsidRPr="00706EF9">
        <w:rPr>
          <w:rStyle w:val="Hipercze"/>
          <w:rFonts w:ascii="Poppins" w:hAnsi="Poppins" w:cs="Poppins"/>
          <w:bCs/>
          <w:color w:val="auto"/>
          <w:sz w:val="16"/>
          <w:szCs w:val="16"/>
          <w:u w:val="none"/>
        </w:rPr>
        <w:t>kontakt@liderwood.pl</w:t>
      </w:r>
    </w:hyperlink>
    <w:r w:rsidR="00706EF9" w:rsidRPr="00706EF9">
      <w:rPr>
        <w:rFonts w:ascii="Poppins" w:hAnsi="Poppins" w:cs="Poppins"/>
        <w:bCs/>
        <w:sz w:val="16"/>
        <w:szCs w:val="16"/>
      </w:rPr>
      <w:t xml:space="preserve"> </w:t>
    </w:r>
    <w:r w:rsidR="006E6477" w:rsidRPr="00706EF9">
      <w:rPr>
        <w:rStyle w:val="Numerstrony"/>
        <w:rFonts w:ascii="Poppins" w:hAnsi="Poppins" w:cs="Poppins"/>
        <w:bCs/>
        <w:sz w:val="16"/>
        <w:szCs w:val="16"/>
      </w:rPr>
      <w:t xml:space="preserve"> </w:t>
    </w:r>
    <w:r w:rsidR="00706EF9" w:rsidRPr="00706EF9">
      <w:rPr>
        <w:rFonts w:ascii="Poppins" w:hAnsi="Poppins" w:cs="Poppins"/>
        <w:bCs/>
        <w:sz w:val="16"/>
        <w:szCs w:val="16"/>
      </w:rPr>
      <w:t>www.liderwood.pl</w:t>
    </w:r>
  </w:p>
  <w:p w14:paraId="6C21D986" w14:textId="389597C2" w:rsidR="006E6477" w:rsidRPr="000C2283" w:rsidRDefault="006E6477" w:rsidP="00FE1918">
    <w:pPr>
      <w:pStyle w:val="Stopka"/>
      <w:pBdr>
        <w:top w:val="single" w:sz="4" w:space="0" w:color="auto"/>
      </w:pBdr>
      <w:tabs>
        <w:tab w:val="clear" w:pos="9072"/>
        <w:tab w:val="right" w:pos="9720"/>
      </w:tabs>
      <w:spacing w:before="60"/>
      <w:ind w:left="567" w:hanging="567"/>
      <w:jc w:val="right"/>
      <w:rPr>
        <w:rFonts w:ascii="Poppins" w:hAnsi="Poppins" w:cs="Poppins"/>
        <w:bCs/>
        <w:sz w:val="16"/>
        <w:szCs w:val="16"/>
      </w:rPr>
    </w:pPr>
    <w:r w:rsidRPr="000C2283">
      <w:rPr>
        <w:rStyle w:val="Numerstrony"/>
        <w:rFonts w:ascii="Poppins" w:hAnsi="Poppins" w:cs="Poppins"/>
        <w:bCs/>
        <w:sz w:val="16"/>
        <w:szCs w:val="16"/>
      </w:rPr>
      <w:t>KRS</w:t>
    </w:r>
    <w:r w:rsidR="000C2283" w:rsidRPr="000C2283">
      <w:rPr>
        <w:rStyle w:val="Numerstrony"/>
        <w:rFonts w:ascii="Poppins" w:hAnsi="Poppins" w:cs="Poppins"/>
        <w:bCs/>
        <w:sz w:val="16"/>
        <w:szCs w:val="16"/>
      </w:rPr>
      <w:t>:</w:t>
    </w:r>
    <w:r w:rsidRPr="000C2283">
      <w:rPr>
        <w:rStyle w:val="Numerstrony"/>
        <w:rFonts w:ascii="Poppins" w:hAnsi="Poppins" w:cs="Poppins"/>
        <w:bCs/>
        <w:sz w:val="16"/>
        <w:szCs w:val="16"/>
      </w:rPr>
      <w:t xml:space="preserve"> </w:t>
    </w:r>
    <w:r w:rsidR="00706EF9" w:rsidRPr="00706EF9">
      <w:rPr>
        <w:rFonts w:ascii="Poppins" w:hAnsi="Poppins" w:cs="Poppins"/>
        <w:bCs/>
        <w:sz w:val="16"/>
        <w:szCs w:val="16"/>
      </w:rPr>
      <w:t>0001086042</w:t>
    </w:r>
    <w:r w:rsidRPr="000C2283">
      <w:rPr>
        <w:rFonts w:ascii="Poppins" w:hAnsi="Poppins" w:cs="Poppins"/>
        <w:bCs/>
        <w:sz w:val="16"/>
        <w:szCs w:val="16"/>
      </w:rPr>
      <w:t>, NIP</w:t>
    </w:r>
    <w:r w:rsidR="000C2283" w:rsidRPr="000C2283">
      <w:rPr>
        <w:rFonts w:ascii="Poppins" w:hAnsi="Poppins" w:cs="Poppins"/>
        <w:bCs/>
        <w:sz w:val="16"/>
        <w:szCs w:val="16"/>
      </w:rPr>
      <w:t>:</w:t>
    </w:r>
    <w:r w:rsidRPr="000C2283">
      <w:rPr>
        <w:rFonts w:ascii="Poppins" w:hAnsi="Poppins" w:cs="Poppins"/>
        <w:bCs/>
        <w:sz w:val="16"/>
        <w:szCs w:val="16"/>
      </w:rPr>
      <w:t xml:space="preserve"> </w:t>
    </w:r>
    <w:r w:rsidR="00706EF9" w:rsidRPr="00706EF9">
      <w:rPr>
        <w:rFonts w:ascii="Poppins" w:hAnsi="Poppins" w:cs="Poppins"/>
        <w:bCs/>
        <w:sz w:val="16"/>
        <w:szCs w:val="16"/>
      </w:rPr>
      <w:t>958 167 26 50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FF6C1" w14:textId="77777777" w:rsidR="008B315D" w:rsidRDefault="008B315D" w:rsidP="006E6477">
      <w:pPr>
        <w:spacing w:after="0" w:line="240" w:lineRule="auto"/>
      </w:pPr>
      <w:r>
        <w:separator/>
      </w:r>
    </w:p>
  </w:footnote>
  <w:footnote w:type="continuationSeparator" w:id="0">
    <w:p w14:paraId="1D895285" w14:textId="77777777" w:rsidR="008B315D" w:rsidRDefault="008B315D" w:rsidP="006E6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07D21" w14:textId="7870A176" w:rsidR="006E6477" w:rsidRDefault="006E6477" w:rsidP="00FE1918">
    <w:pPr>
      <w:pStyle w:val="Nagwek"/>
    </w:pPr>
    <w:r>
      <w:rPr>
        <w:b/>
        <w:noProof/>
      </w:rPr>
      <w:drawing>
        <wp:inline distT="0" distB="0" distL="0" distR="0" wp14:anchorId="13EF36DD" wp14:editId="7D240FCF">
          <wp:extent cx="2360742" cy="614911"/>
          <wp:effectExtent l="0" t="0" r="1905" b="0"/>
          <wp:docPr id="48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Obraz 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0742" cy="614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81A00"/>
    <w:multiLevelType w:val="hybridMultilevel"/>
    <w:tmpl w:val="4B964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A4C2C"/>
    <w:multiLevelType w:val="hybridMultilevel"/>
    <w:tmpl w:val="CD6EB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836E1"/>
    <w:multiLevelType w:val="hybridMultilevel"/>
    <w:tmpl w:val="433A6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E12D6"/>
    <w:multiLevelType w:val="hybridMultilevel"/>
    <w:tmpl w:val="7F427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D2A50"/>
    <w:multiLevelType w:val="hybridMultilevel"/>
    <w:tmpl w:val="D1B6A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D3D6C"/>
    <w:multiLevelType w:val="hybridMultilevel"/>
    <w:tmpl w:val="43A68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D545E"/>
    <w:multiLevelType w:val="hybridMultilevel"/>
    <w:tmpl w:val="DC4CECA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2060065"/>
    <w:multiLevelType w:val="hybridMultilevel"/>
    <w:tmpl w:val="B810D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A79B6"/>
    <w:multiLevelType w:val="hybridMultilevel"/>
    <w:tmpl w:val="FC667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A16B59"/>
    <w:multiLevelType w:val="hybridMultilevel"/>
    <w:tmpl w:val="0C3CA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26E1F"/>
    <w:multiLevelType w:val="hybridMultilevel"/>
    <w:tmpl w:val="B1602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272FE"/>
    <w:multiLevelType w:val="hybridMultilevel"/>
    <w:tmpl w:val="AF62E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007889">
    <w:abstractNumId w:val="1"/>
  </w:num>
  <w:num w:numId="2" w16cid:durableId="473062383">
    <w:abstractNumId w:val="10"/>
  </w:num>
  <w:num w:numId="3" w16cid:durableId="2024630770">
    <w:abstractNumId w:val="2"/>
  </w:num>
  <w:num w:numId="4" w16cid:durableId="236407595">
    <w:abstractNumId w:val="4"/>
  </w:num>
  <w:num w:numId="5" w16cid:durableId="226654503">
    <w:abstractNumId w:val="11"/>
  </w:num>
  <w:num w:numId="6" w16cid:durableId="1474567606">
    <w:abstractNumId w:val="0"/>
  </w:num>
  <w:num w:numId="7" w16cid:durableId="1042939963">
    <w:abstractNumId w:val="3"/>
  </w:num>
  <w:num w:numId="8" w16cid:durableId="1537278548">
    <w:abstractNumId w:val="5"/>
  </w:num>
  <w:num w:numId="9" w16cid:durableId="1502545997">
    <w:abstractNumId w:val="6"/>
  </w:num>
  <w:num w:numId="10" w16cid:durableId="2123256807">
    <w:abstractNumId w:val="7"/>
  </w:num>
  <w:num w:numId="11" w16cid:durableId="2041591733">
    <w:abstractNumId w:val="9"/>
  </w:num>
  <w:num w:numId="12" w16cid:durableId="17250579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477"/>
    <w:rsid w:val="000C2283"/>
    <w:rsid w:val="000F1571"/>
    <w:rsid w:val="00133DDE"/>
    <w:rsid w:val="00177FD1"/>
    <w:rsid w:val="002D113A"/>
    <w:rsid w:val="003335F5"/>
    <w:rsid w:val="003B7880"/>
    <w:rsid w:val="00434953"/>
    <w:rsid w:val="00480EA6"/>
    <w:rsid w:val="004A57B0"/>
    <w:rsid w:val="004B7E9F"/>
    <w:rsid w:val="004C7C8B"/>
    <w:rsid w:val="004E1DB6"/>
    <w:rsid w:val="00502889"/>
    <w:rsid w:val="00545763"/>
    <w:rsid w:val="006161FF"/>
    <w:rsid w:val="0066737C"/>
    <w:rsid w:val="006D6584"/>
    <w:rsid w:val="006E6477"/>
    <w:rsid w:val="00706EF9"/>
    <w:rsid w:val="00735E9F"/>
    <w:rsid w:val="00747A47"/>
    <w:rsid w:val="007F1E36"/>
    <w:rsid w:val="00802A54"/>
    <w:rsid w:val="008730DC"/>
    <w:rsid w:val="008B315D"/>
    <w:rsid w:val="00931FC7"/>
    <w:rsid w:val="0099439F"/>
    <w:rsid w:val="009B6506"/>
    <w:rsid w:val="00A11128"/>
    <w:rsid w:val="00A605EE"/>
    <w:rsid w:val="00B41870"/>
    <w:rsid w:val="00B75569"/>
    <w:rsid w:val="00B92388"/>
    <w:rsid w:val="00C168BC"/>
    <w:rsid w:val="00CB27C0"/>
    <w:rsid w:val="00CC2FC9"/>
    <w:rsid w:val="00CF2E1B"/>
    <w:rsid w:val="00DA5921"/>
    <w:rsid w:val="00E21BBE"/>
    <w:rsid w:val="00FA5079"/>
    <w:rsid w:val="00FE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7B5B7B"/>
  <w15:chartTrackingRefBased/>
  <w15:docId w15:val="{5BBAA4E1-0830-4072-AB4E-8C55D45D8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05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6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6477"/>
  </w:style>
  <w:style w:type="paragraph" w:styleId="Stopka">
    <w:name w:val="footer"/>
    <w:basedOn w:val="Normalny"/>
    <w:link w:val="StopkaZnak"/>
    <w:unhideWhenUsed/>
    <w:rsid w:val="006E6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6477"/>
  </w:style>
  <w:style w:type="character" w:styleId="Hipercze">
    <w:name w:val="Hyperlink"/>
    <w:basedOn w:val="Domylnaczcionkaakapitu"/>
    <w:uiPriority w:val="99"/>
    <w:rsid w:val="006E6477"/>
    <w:rPr>
      <w:color w:val="0000FF"/>
      <w:u w:val="single"/>
    </w:rPr>
  </w:style>
  <w:style w:type="character" w:styleId="Numerstrony">
    <w:name w:val="page number"/>
    <w:basedOn w:val="Domylnaczcionkaakapitu"/>
    <w:rsid w:val="006E6477"/>
  </w:style>
  <w:style w:type="character" w:styleId="Nierozpoznanawzmianka">
    <w:name w:val="Unresolved Mention"/>
    <w:basedOn w:val="Domylnaczcionkaakapitu"/>
    <w:uiPriority w:val="99"/>
    <w:semiHidden/>
    <w:unhideWhenUsed/>
    <w:rsid w:val="006E6477"/>
    <w:rPr>
      <w:color w:val="605E5C"/>
      <w:shd w:val="clear" w:color="auto" w:fill="E1DFDD"/>
    </w:rPr>
  </w:style>
  <w:style w:type="paragraph" w:customStyle="1" w:styleId="Default">
    <w:name w:val="Default"/>
    <w:rsid w:val="00A605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E1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ntakt@liderwood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Richert</dc:creator>
  <cp:keywords/>
  <dc:description/>
  <cp:lastModifiedBy>Zuzanna Richert</cp:lastModifiedBy>
  <cp:revision>5</cp:revision>
  <cp:lastPrinted>2022-05-19T09:13:00Z</cp:lastPrinted>
  <dcterms:created xsi:type="dcterms:W3CDTF">2022-06-15T11:52:00Z</dcterms:created>
  <dcterms:modified xsi:type="dcterms:W3CDTF">2024-07-16T10:47:00Z</dcterms:modified>
</cp:coreProperties>
</file>